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03" w:rsidRDefault="00DB1803" w:rsidP="00DB1803">
      <w:pPr>
        <w:tabs>
          <w:tab w:val="left" w:pos="516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FORMATO No 5 “CUMPLIMIENTO ESPECIFICACIONES TÉCNICAS”</w:t>
      </w:r>
    </w:p>
    <w:p w:rsidR="00DB1803" w:rsidRDefault="00DB1803" w:rsidP="00DB1803">
      <w:pPr>
        <w:tabs>
          <w:tab w:val="left" w:pos="5160"/>
        </w:tabs>
        <w:jc w:val="both"/>
        <w:rPr>
          <w:rFonts w:cstheme="minorHAnsi"/>
          <w:b/>
        </w:rPr>
      </w:pPr>
    </w:p>
    <w:p w:rsidR="00DB1803" w:rsidRPr="001F1C41" w:rsidRDefault="00DB1803" w:rsidP="00DB1803">
      <w:pPr>
        <w:tabs>
          <w:tab w:val="left" w:pos="5160"/>
        </w:tabs>
        <w:jc w:val="both"/>
        <w:rPr>
          <w:rFonts w:cstheme="minorHAnsi"/>
          <w:b/>
        </w:rPr>
      </w:pPr>
      <w:r w:rsidRPr="001F1C41">
        <w:rPr>
          <w:rFonts w:cstheme="minorHAnsi"/>
          <w:b/>
        </w:rPr>
        <w:t>M</w:t>
      </w:r>
      <w:r>
        <w:rPr>
          <w:rFonts w:cstheme="minorHAnsi"/>
          <w:b/>
        </w:rPr>
        <w:t>ATRIZ DE VIDEO Y AUTOMATIZACIÓN</w:t>
      </w:r>
    </w:p>
    <w:p w:rsidR="00DB1803" w:rsidRPr="001F1C41" w:rsidRDefault="00DB1803" w:rsidP="00DB1803">
      <w:pPr>
        <w:jc w:val="both"/>
        <w:rPr>
          <w:rFonts w:eastAsia="Times New Roman" w:cstheme="minorHAnsi"/>
          <w:lang w:eastAsia="es-CO"/>
        </w:rPr>
      </w:pPr>
      <w:r w:rsidRPr="001F1C41">
        <w:rPr>
          <w:rFonts w:eastAsia="Times New Roman" w:cstheme="minorHAnsi"/>
          <w:lang w:eastAsia="es-CO"/>
        </w:rPr>
        <w:t xml:space="preserve">La matriz de video debe ser profesional, compatible con señales 4K, configurable mediante tarjetas de entrada y salida, con 8 entradas y 8 salidas </w:t>
      </w:r>
      <w:proofErr w:type="spellStart"/>
      <w:r w:rsidRPr="001F1C41">
        <w:rPr>
          <w:rFonts w:eastAsia="Times New Roman" w:cstheme="minorHAnsi"/>
          <w:lang w:eastAsia="es-CO"/>
        </w:rPr>
        <w:t>HDBaseT</w:t>
      </w:r>
      <w:proofErr w:type="spellEnd"/>
      <w:r w:rsidRPr="001F1C41">
        <w:rPr>
          <w:rFonts w:eastAsia="Times New Roman" w:cstheme="minorHAnsi"/>
          <w:lang w:eastAsia="es-CO"/>
        </w:rPr>
        <w:t xml:space="preserve"> (</w:t>
      </w:r>
      <w:proofErr w:type="spellStart"/>
      <w:r w:rsidRPr="001F1C41">
        <w:rPr>
          <w:rFonts w:eastAsia="Times New Roman" w:cstheme="minorHAnsi"/>
          <w:lang w:eastAsia="es-CO"/>
        </w:rPr>
        <w:t>jack</w:t>
      </w:r>
      <w:proofErr w:type="spellEnd"/>
      <w:r w:rsidRPr="001F1C41">
        <w:rPr>
          <w:rFonts w:eastAsia="Times New Roman" w:cstheme="minorHAnsi"/>
          <w:lang w:eastAsia="es-CO"/>
        </w:rPr>
        <w:t xml:space="preserve"> RJ45), sin convertidores ni acopladores. Esta matriz recibirá la señal, vía cable UTP, de los siete “</w:t>
      </w:r>
      <w:proofErr w:type="spellStart"/>
      <w:r w:rsidRPr="001F1C41">
        <w:rPr>
          <w:rFonts w:eastAsia="Times New Roman" w:cstheme="minorHAnsi"/>
          <w:lang w:eastAsia="es-CO"/>
        </w:rPr>
        <w:t>wall</w:t>
      </w:r>
      <w:proofErr w:type="spellEnd"/>
      <w:r w:rsidRPr="001F1C41">
        <w:rPr>
          <w:rFonts w:eastAsia="Times New Roman" w:cstheme="minorHAnsi"/>
          <w:lang w:eastAsia="es-CO"/>
        </w:rPr>
        <w:t xml:space="preserve"> </w:t>
      </w:r>
      <w:proofErr w:type="spellStart"/>
      <w:r w:rsidRPr="001F1C41">
        <w:rPr>
          <w:rFonts w:eastAsia="Times New Roman" w:cstheme="minorHAnsi"/>
          <w:lang w:eastAsia="es-CO"/>
        </w:rPr>
        <w:t>plates</w:t>
      </w:r>
      <w:proofErr w:type="spellEnd"/>
      <w:r w:rsidRPr="001F1C41">
        <w:rPr>
          <w:rFonts w:eastAsia="Times New Roman" w:cstheme="minorHAnsi"/>
          <w:lang w:eastAsia="es-CO"/>
        </w:rPr>
        <w:t xml:space="preserve">” HDMI de las salas (uno por sala) y así mismo, retornará la señal, vía cable UTP también, a los siete proyectores, pasando primero por un receptor que hace la conversión </w:t>
      </w:r>
      <w:proofErr w:type="spellStart"/>
      <w:r w:rsidRPr="001F1C41">
        <w:rPr>
          <w:rFonts w:eastAsia="Times New Roman" w:cstheme="minorHAnsi"/>
          <w:lang w:eastAsia="es-CO"/>
        </w:rPr>
        <w:t>HDBaseT</w:t>
      </w:r>
      <w:proofErr w:type="spellEnd"/>
      <w:r w:rsidRPr="001F1C41">
        <w:rPr>
          <w:rFonts w:eastAsia="Times New Roman" w:cstheme="minorHAnsi"/>
          <w:lang w:eastAsia="es-CO"/>
        </w:rPr>
        <w:t xml:space="preserve"> a HDMI. La matriz debe contar con un puerto Ethernet que permita su interface y compatibilidad con el sistema de control.</w:t>
      </w:r>
    </w:p>
    <w:p w:rsidR="00DB1803" w:rsidRPr="001F1C41" w:rsidRDefault="00DB1803" w:rsidP="00DB1803">
      <w:pPr>
        <w:jc w:val="both"/>
        <w:rPr>
          <w:rFonts w:eastAsia="Times New Roman" w:cstheme="minorHAnsi"/>
          <w:vanish/>
          <w:lang w:eastAsia="es-CO"/>
          <w:spec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2486"/>
        <w:gridCol w:w="1185"/>
        <w:gridCol w:w="1474"/>
        <w:gridCol w:w="1474"/>
        <w:gridCol w:w="1319"/>
      </w:tblGrid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DESCRIPCIÓN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REQUERIDO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OFRECIDO</w:t>
            </w:r>
          </w:p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Marca</w:t>
            </w:r>
            <w:proofErr w:type="gram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 xml:space="preserve">, </w:t>
            </w:r>
            <w:r w:rsidRPr="00673D46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 xml:space="preserve"> Referencia</w:t>
            </w:r>
            <w:proofErr w:type="gramEnd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 xml:space="preserve"> o especificación.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CUMPLE</w:t>
            </w:r>
          </w:p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SI o NO</w:t>
            </w: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1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Fabricante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2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País de origen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USA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3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Referencia del fabricante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22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4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Alimentación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V. AC/ HZ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100-240 V/50 Y 60Hz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5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Procesamiento DPS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6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Número de entradas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7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Número de salidas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8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Tipo de entradas y de salidas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HD </w:t>
            </w:r>
            <w:proofErr w:type="spellStart"/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BaseT</w:t>
            </w:r>
            <w:proofErr w:type="spellEnd"/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Rj45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9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Modular y configurable con tarjetas de entrada y salida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10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proofErr w:type="spellStart"/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HDBaeT</w:t>
            </w:r>
            <w:proofErr w:type="spellEnd"/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Certificado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11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Soporte de señales HDMI con Deep Color, 3D y 4K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22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12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Salida de audio análogo en tarjetas de entrada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188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13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Salida HDMI en tarjetas de entrada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14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proofErr w:type="spellStart"/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PoH</w:t>
            </w:r>
            <w:proofErr w:type="spellEnd"/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en </w:t>
            </w:r>
            <w:proofErr w:type="spellStart"/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entrads</w:t>
            </w:r>
            <w:proofErr w:type="spellEnd"/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y salidas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15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EDID </w:t>
            </w:r>
            <w:proofErr w:type="spellStart"/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Format</w:t>
            </w:r>
            <w:proofErr w:type="spellEnd"/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Management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lastRenderedPageBreak/>
              <w:t xml:space="preserve">              16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Compatible HDCP 2.2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17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Puerto de control Ethernet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298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18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Montaje en rack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673D46" w:rsidTr="00211ED0">
        <w:trPr>
          <w:trHeight w:val="300"/>
        </w:trPr>
        <w:tc>
          <w:tcPr>
            <w:tcW w:w="504" w:type="pct"/>
            <w:shd w:val="clear" w:color="auto" w:fill="auto"/>
            <w:noWrap/>
            <w:vAlign w:val="center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19 </w:t>
            </w:r>
          </w:p>
        </w:tc>
        <w:tc>
          <w:tcPr>
            <w:tcW w:w="1408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Garantía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73D46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7" w:type="pct"/>
          </w:tcPr>
          <w:p w:rsidR="00DB1803" w:rsidRPr="00673D46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</w:tbl>
    <w:p w:rsidR="00DB1803" w:rsidRDefault="00DB1803" w:rsidP="00DB1803">
      <w:pPr>
        <w:rPr>
          <w:rFonts w:eastAsia="Times New Roman" w:cstheme="minorHAnsi"/>
          <w:b/>
          <w:lang w:eastAsia="es-CO"/>
        </w:rPr>
      </w:pPr>
    </w:p>
    <w:p w:rsidR="00DB1803" w:rsidRPr="001F1C41" w:rsidRDefault="00DB1803" w:rsidP="00DB1803">
      <w:pPr>
        <w:rPr>
          <w:rFonts w:eastAsia="Times New Roman" w:cstheme="minorHAnsi"/>
          <w:b/>
          <w:lang w:eastAsia="es-CO"/>
        </w:rPr>
      </w:pPr>
      <w:r w:rsidRPr="001F1C41">
        <w:rPr>
          <w:rFonts w:eastAsia="Times New Roman" w:cstheme="minorHAnsi"/>
          <w:b/>
          <w:lang w:eastAsia="es-CO"/>
        </w:rPr>
        <w:t>TRANSMISOR HDBASET</w:t>
      </w:r>
    </w:p>
    <w:p w:rsidR="00DB1803" w:rsidRPr="001F1C41" w:rsidRDefault="00DB1803" w:rsidP="00DB1803">
      <w:pPr>
        <w:jc w:val="both"/>
        <w:rPr>
          <w:rFonts w:cstheme="minorHAnsi"/>
        </w:rPr>
      </w:pPr>
      <w:r w:rsidRPr="001F1C41">
        <w:rPr>
          <w:rFonts w:cstheme="minorHAnsi"/>
        </w:rPr>
        <w:t>En total se utilizarán siete “</w:t>
      </w:r>
      <w:proofErr w:type="spellStart"/>
      <w:r w:rsidRPr="001F1C41">
        <w:rPr>
          <w:rFonts w:cstheme="minorHAnsi"/>
        </w:rPr>
        <w:t>wall</w:t>
      </w:r>
      <w:proofErr w:type="spellEnd"/>
      <w:r w:rsidRPr="001F1C41">
        <w:rPr>
          <w:rFonts w:cstheme="minorHAnsi"/>
        </w:rPr>
        <w:t xml:space="preserve"> </w:t>
      </w:r>
      <w:proofErr w:type="spellStart"/>
      <w:r w:rsidRPr="001F1C41">
        <w:rPr>
          <w:rFonts w:cstheme="minorHAnsi"/>
        </w:rPr>
        <w:t>plates</w:t>
      </w:r>
      <w:proofErr w:type="spellEnd"/>
      <w:r w:rsidRPr="001F1C41">
        <w:rPr>
          <w:rFonts w:cstheme="minorHAnsi"/>
        </w:rPr>
        <w:t>”, uno por sala, con entrada una entrada HDMI, resolución 4K. Este “</w:t>
      </w:r>
      <w:proofErr w:type="spellStart"/>
      <w:r w:rsidRPr="001F1C41">
        <w:rPr>
          <w:rFonts w:cstheme="minorHAnsi"/>
        </w:rPr>
        <w:t>wall</w:t>
      </w:r>
      <w:proofErr w:type="spellEnd"/>
      <w:r w:rsidRPr="001F1C41">
        <w:rPr>
          <w:rFonts w:cstheme="minorHAnsi"/>
        </w:rPr>
        <w:t xml:space="preserve"> </w:t>
      </w:r>
      <w:proofErr w:type="spellStart"/>
      <w:r w:rsidRPr="001F1C41">
        <w:rPr>
          <w:rFonts w:cstheme="minorHAnsi"/>
        </w:rPr>
        <w:t>plate</w:t>
      </w:r>
      <w:proofErr w:type="spellEnd"/>
      <w:r w:rsidRPr="001F1C41">
        <w:rPr>
          <w:rFonts w:cstheme="minorHAnsi"/>
        </w:rPr>
        <w:t xml:space="preserve">” debe tener integrado el convertidor a </w:t>
      </w:r>
      <w:proofErr w:type="spellStart"/>
      <w:r w:rsidRPr="001F1C41">
        <w:rPr>
          <w:rFonts w:cstheme="minorHAnsi"/>
        </w:rPr>
        <w:t>HDBaseT</w:t>
      </w:r>
      <w:proofErr w:type="spellEnd"/>
      <w:r w:rsidRPr="001F1C41">
        <w:rPr>
          <w:rFonts w:cstheme="minorHAnsi"/>
        </w:rPr>
        <w:t xml:space="preserve"> y debe enviar todas las señales por un único cab</w:t>
      </w:r>
      <w:r>
        <w:rPr>
          <w:rFonts w:cstheme="minorHAnsi"/>
        </w:rPr>
        <w:t>le UTP hasta la matriz central.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3102"/>
        <w:gridCol w:w="923"/>
        <w:gridCol w:w="1612"/>
        <w:gridCol w:w="1179"/>
        <w:gridCol w:w="1022"/>
      </w:tblGrid>
      <w:tr w:rsidR="00DB1803" w:rsidRPr="00A81A71" w:rsidTr="00211ED0">
        <w:trPr>
          <w:trHeight w:val="565"/>
        </w:trPr>
        <w:tc>
          <w:tcPr>
            <w:tcW w:w="560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1757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DESCRIPCIÓN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REQUERIDO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OFRECIDO</w:t>
            </w:r>
          </w:p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Marca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 xml:space="preserve">, </w:t>
            </w: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referencia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 xml:space="preserve"> o especificación.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CUMPLE</w:t>
            </w:r>
          </w:p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SI o NO</w:t>
            </w:r>
          </w:p>
        </w:tc>
      </w:tr>
      <w:tr w:rsidR="00DB1803" w:rsidRPr="00A81A71" w:rsidTr="00211ED0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757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Fabricante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57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País de origen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USA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757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Referencia del fabricante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258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757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Alimentación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Vc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. A/Hz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100-240 V/50 Y 60Hz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134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757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Tipo o forma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Wall </w:t>
            </w: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Plate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de 1 </w:t>
            </w: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Gang</w:t>
            </w:r>
            <w:proofErr w:type="spellEnd"/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757" w:type="pct"/>
            <w:shd w:val="clear" w:color="auto" w:fill="auto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Conector de entrada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1 HDMI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1757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Transmisor </w:t>
            </w: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HDBaseT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integrado al </w:t>
            </w: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wall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plate</w:t>
            </w:r>
            <w:proofErr w:type="spellEnd"/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757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Soporte de señales HDMI con Deep Color, 3D y 4K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7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757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HDBase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T Certificado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757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Compatible HDCP 2.2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757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Soporta distancias de 100 </w:t>
            </w: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mts</w:t>
            </w:r>
            <w:proofErr w:type="spellEnd"/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757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Garantía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</w:tbl>
    <w:p w:rsidR="00DB1803" w:rsidRPr="001F1C41" w:rsidRDefault="00DB1803" w:rsidP="00DB1803">
      <w:pPr>
        <w:jc w:val="both"/>
        <w:rPr>
          <w:rFonts w:cstheme="minorHAnsi"/>
        </w:rPr>
      </w:pPr>
    </w:p>
    <w:p w:rsidR="00DB1803" w:rsidRPr="001F1C41" w:rsidRDefault="00DB1803" w:rsidP="00DB1803">
      <w:pPr>
        <w:rPr>
          <w:rFonts w:eastAsia="Times New Roman" w:cstheme="minorHAnsi"/>
          <w:b/>
          <w:lang w:eastAsia="es-CO"/>
        </w:rPr>
      </w:pPr>
      <w:r w:rsidRPr="001F1C41">
        <w:rPr>
          <w:rFonts w:eastAsia="Times New Roman" w:cstheme="minorHAnsi"/>
          <w:b/>
          <w:lang w:eastAsia="es-CO"/>
        </w:rPr>
        <w:t>RECEPTOR HD BASE T CON ESCALADOR 4K</w:t>
      </w:r>
    </w:p>
    <w:p w:rsidR="00DB1803" w:rsidRPr="001F1C41" w:rsidRDefault="00DB1803" w:rsidP="00DB1803">
      <w:pPr>
        <w:jc w:val="both"/>
        <w:rPr>
          <w:rFonts w:cstheme="minorHAnsi"/>
        </w:rPr>
      </w:pPr>
      <w:r w:rsidRPr="001F1C41">
        <w:rPr>
          <w:rFonts w:cstheme="minorHAnsi"/>
        </w:rPr>
        <w:lastRenderedPageBreak/>
        <w:t xml:space="preserve">En cada proyector se dispondrá de un receptor o convertidor que recibe la señal </w:t>
      </w:r>
      <w:proofErr w:type="spellStart"/>
      <w:r w:rsidRPr="001F1C41">
        <w:rPr>
          <w:rFonts w:cstheme="minorHAnsi"/>
        </w:rPr>
        <w:t>HDBaseT</w:t>
      </w:r>
      <w:proofErr w:type="spellEnd"/>
      <w:r w:rsidRPr="001F1C41">
        <w:rPr>
          <w:rFonts w:cstheme="minorHAnsi"/>
        </w:rPr>
        <w:t xml:space="preserve"> de la matriz y la convierte en HDMI y control al proyector, es decir, en total se utilizarán siete receptores. El receptor debe tener escalador a 4K. El sistema debe garantizar transporte de señal </w:t>
      </w:r>
      <w:proofErr w:type="spellStart"/>
      <w:r w:rsidRPr="001F1C41">
        <w:rPr>
          <w:rFonts w:cstheme="minorHAnsi"/>
        </w:rPr>
        <w:t>HDBaseT</w:t>
      </w:r>
      <w:proofErr w:type="spellEnd"/>
      <w:r w:rsidRPr="001F1C41">
        <w:rPr>
          <w:rFonts w:cstheme="minorHAnsi"/>
        </w:rPr>
        <w:t xml:space="preserve"> vía un solo cable UTP por 100 metros desde el “</w:t>
      </w:r>
      <w:proofErr w:type="spellStart"/>
      <w:r w:rsidRPr="001F1C41">
        <w:rPr>
          <w:rFonts w:cstheme="minorHAnsi"/>
        </w:rPr>
        <w:t>wall</w:t>
      </w:r>
      <w:proofErr w:type="spellEnd"/>
      <w:r w:rsidRPr="001F1C41">
        <w:rPr>
          <w:rFonts w:cstheme="minorHAnsi"/>
        </w:rPr>
        <w:t xml:space="preserve"> </w:t>
      </w:r>
      <w:proofErr w:type="spellStart"/>
      <w:r w:rsidRPr="001F1C41">
        <w:rPr>
          <w:rFonts w:cstheme="minorHAnsi"/>
        </w:rPr>
        <w:t>plate</w:t>
      </w:r>
      <w:proofErr w:type="spellEnd"/>
      <w:r w:rsidRPr="001F1C41">
        <w:rPr>
          <w:rFonts w:cstheme="minorHAnsi"/>
        </w:rPr>
        <w:t>” hasta la matriz y 100 metros desde la matriz hasta el receptor. Además de transportar video 4K y audio, el sistema debe transportar señales de control RS232 y/o IR y/o señales ON-OFF, por el mismo cable UTP, que salen vía Ethernet desde el procesador de control y que el receptor las debe decodificar y convertirlas en puertos de control.</w:t>
      </w:r>
    </w:p>
    <w:p w:rsidR="00DB1803" w:rsidRPr="001F1C41" w:rsidRDefault="00DB1803" w:rsidP="00DB1803">
      <w:pPr>
        <w:jc w:val="both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853"/>
        <w:gridCol w:w="1137"/>
        <w:gridCol w:w="1388"/>
        <w:gridCol w:w="1259"/>
        <w:gridCol w:w="1257"/>
      </w:tblGrid>
      <w:tr w:rsidR="00DB1803" w:rsidRPr="00A81A71" w:rsidTr="00211ED0">
        <w:trPr>
          <w:trHeight w:val="300"/>
          <w:jc w:val="center"/>
        </w:trPr>
        <w:tc>
          <w:tcPr>
            <w:tcW w:w="529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DESCRIPCIÓN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REQUERIDO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OFRECIDO</w:t>
            </w:r>
          </w:p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Marca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 xml:space="preserve">, </w:t>
            </w: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Referencia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 xml:space="preserve"> o especificación.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CUMPLE</w:t>
            </w:r>
          </w:p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SI o NO</w:t>
            </w:r>
          </w:p>
        </w:tc>
      </w:tr>
      <w:tr w:rsidR="00DB1803" w:rsidRPr="00A81A71" w:rsidTr="00211ED0">
        <w:trPr>
          <w:trHeight w:val="30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1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Fabricante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7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2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País de origen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USA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3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Referencia del fabricante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36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4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Alimentación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Vc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. A/Hz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100-240 V/50 Y 60Hz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5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HDBaseT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Certificado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6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Soporte de señales HDMI con Deep Color, 3D y 4K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7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Compatible HDCP 2.2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8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Soporta distancias de 100 </w:t>
            </w: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mts</w:t>
            </w:r>
            <w:proofErr w:type="spellEnd"/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9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Escalador “Up-</w:t>
            </w: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Converter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” a 4K y “Down </w:t>
            </w: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Converter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”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10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Salida de Video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1 HDMI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90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11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Salidas de Control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86" w:type="pct"/>
            <w:shd w:val="clear" w:color="auto" w:fill="auto"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RS232, Ethernet, IR y dos relevos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12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Garantía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13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Dimensiones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Mm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  <w:jc w:val="center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14 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Peso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Kg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3" w:type="pct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</w:tbl>
    <w:p w:rsidR="00DB1803" w:rsidRDefault="00DB1803" w:rsidP="00DB1803">
      <w:pPr>
        <w:rPr>
          <w:rFonts w:cstheme="minorHAnsi"/>
        </w:rPr>
      </w:pPr>
    </w:p>
    <w:p w:rsidR="00DB1803" w:rsidRPr="001F1C41" w:rsidRDefault="00DB1803" w:rsidP="00DB1803">
      <w:pPr>
        <w:rPr>
          <w:rFonts w:eastAsia="Times New Roman" w:cstheme="minorHAnsi"/>
          <w:b/>
          <w:lang w:eastAsia="es-CO"/>
        </w:rPr>
      </w:pPr>
      <w:r w:rsidRPr="001F1C41">
        <w:rPr>
          <w:rFonts w:eastAsia="Times New Roman" w:cstheme="minorHAnsi"/>
          <w:b/>
          <w:lang w:eastAsia="es-CO"/>
        </w:rPr>
        <w:t>SISTEMA DE CONTROL</w:t>
      </w:r>
    </w:p>
    <w:p w:rsidR="00DB1803" w:rsidRPr="001F1C41" w:rsidRDefault="00DB1803" w:rsidP="00DB1803">
      <w:pPr>
        <w:jc w:val="both"/>
        <w:rPr>
          <w:rFonts w:cstheme="minorHAnsi"/>
        </w:rPr>
      </w:pPr>
      <w:r w:rsidRPr="001F1C41">
        <w:rPr>
          <w:rFonts w:cstheme="minorHAnsi"/>
        </w:rPr>
        <w:t xml:space="preserve">En la actualidad Plaza Mayor Medellín cuenta con un sistema de control cuyo procesador central es un </w:t>
      </w:r>
      <w:proofErr w:type="spellStart"/>
      <w:r w:rsidRPr="001F1C41">
        <w:rPr>
          <w:rFonts w:cstheme="minorHAnsi"/>
        </w:rPr>
        <w:t>Crestron</w:t>
      </w:r>
      <w:proofErr w:type="spellEnd"/>
      <w:r w:rsidRPr="001F1C41">
        <w:rPr>
          <w:rFonts w:cstheme="minorHAnsi"/>
        </w:rPr>
        <w:t xml:space="preserve"> Pro2. La propuesta debe incluir la reprogramación total de este procesador, </w:t>
      </w:r>
      <w:proofErr w:type="spellStart"/>
      <w:r w:rsidRPr="001F1C41">
        <w:rPr>
          <w:rFonts w:cstheme="minorHAnsi"/>
        </w:rPr>
        <w:t>asi</w:t>
      </w:r>
      <w:proofErr w:type="spellEnd"/>
      <w:r w:rsidRPr="001F1C41">
        <w:rPr>
          <w:rFonts w:cstheme="minorHAnsi"/>
        </w:rPr>
        <w:t xml:space="preserve"> como el recableado de control y ajustes necesarios. De todas formas, los equipos propuestos para la plataforma de video 4K y la matriz de audio, deben ser totalmente compatibles con el procesador </w:t>
      </w:r>
      <w:r w:rsidRPr="001F1C41">
        <w:rPr>
          <w:rFonts w:cstheme="minorHAnsi"/>
        </w:rPr>
        <w:lastRenderedPageBreak/>
        <w:t>actual y deben comportarse como una extensión del sistema de control actual. Debe poseer una interface de usuario sencilla, que permita el manejo rápido y efectivo del sistema.</w:t>
      </w:r>
    </w:p>
    <w:p w:rsidR="00DB1803" w:rsidRPr="001F1C41" w:rsidRDefault="00DB1803" w:rsidP="00DB1803">
      <w:pPr>
        <w:rPr>
          <w:rFonts w:eastAsia="Times New Roman" w:cstheme="minorHAnsi"/>
          <w:b/>
          <w:lang w:eastAsia="es-CO"/>
        </w:rPr>
      </w:pPr>
      <w:r w:rsidRPr="001F1C41">
        <w:rPr>
          <w:rFonts w:eastAsia="Times New Roman" w:cstheme="minorHAnsi"/>
          <w:b/>
          <w:lang w:eastAsia="es-CO"/>
        </w:rPr>
        <w:t>PROYECTOR 10.000 ANSI LÚMENS</w:t>
      </w:r>
    </w:p>
    <w:p w:rsidR="00DB1803" w:rsidRPr="001F1C41" w:rsidRDefault="00DB1803" w:rsidP="00DB1803">
      <w:pPr>
        <w:jc w:val="center"/>
        <w:rPr>
          <w:rFonts w:eastAsia="Times New Roman" w:cstheme="minorHAnsi"/>
          <w:b/>
          <w:lang w:eastAsia="es-CO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3627"/>
        <w:gridCol w:w="1333"/>
        <w:gridCol w:w="1771"/>
      </w:tblGrid>
      <w:tr w:rsidR="00DB1803" w:rsidRPr="00A81A71" w:rsidTr="00211ED0">
        <w:trPr>
          <w:trHeight w:val="3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ESPECIFICACIONES TÉCNICAS 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10.000 ANSI LUMENS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OFRECIDO</w:t>
            </w:r>
          </w:p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Marca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, </w:t>
            </w: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Referencia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o especificación.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CUMPLE</w:t>
            </w:r>
          </w:p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SI o NO</w:t>
            </w: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Resolución 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WUXGA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Brillo  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10.000 LM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Contraste 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10,000:1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Resolución 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(1920 x 1200)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fuente de alimentación 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 100-240 V, 50/60 HZ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9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Consumo de energía 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1.050 W  Normal*: 742 W, Eco*: 617 W, Long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Life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1*: 410–588 W, Long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Life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2*: 375–588 W, Long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Life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3*: 349–588 W,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Shutter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*: 82 W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DLP/ Tamaño del panel 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17.00 mm (0.67 in)/(16:10 relación de aspecto)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DLP/ Método de visualización 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DLP chip x 1, sistema de proyección DLP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DLP/ Pixeles 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2,304,000 (1920 x 1200)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6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Lentes 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Powered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zoom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throw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ratio 1.7–2.4:1),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powered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focus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F 1.7–1.9, f 25.6–35.7 mm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15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Fuente de luz 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Láser de diodos clase 1 (clase 3R para modelos de EE. UU.), Vida útil de la fuente de luz * 1: 20,000 horas (modo normal) / 24,000 horas (modo ecológico). En este momento, el brillo habrá disminuido a aproximadamente la mitad de su nivel original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Terminales 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SDI IN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BNC × 1: 3G/HD/SD-SDI input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HDMI IN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HDMI 19-pin × 1 (Deep Color, compatible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with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HDCP)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6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DVI-D IN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DVI-D 24-pin × 1 (DVI 1.0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compliant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compatible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with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HDCP, compatible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with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single link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only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RGB 1 IN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RGB × 1 (BNC × 5): RGB/YPBPR/YCBCR/YC/VIDEO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RGB 2 IN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D-sub HD 15-pin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female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) × 1: RGB/YPBPR/YCBCR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6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SERIAL/MULTI PROJECTOR IN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D-sub 9-pin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female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) × 1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contrast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sync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/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shutter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sync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/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external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control (RS-232C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compliant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6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SERIAL/MULTI PROJECTOR OUT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D-sub 9-pin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male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) × 1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contrast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sync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/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shutter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sync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/RS-232C link control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REMOTE 1 IN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M3 × 1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wired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remote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control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REMOTE 1 OUT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M3 x 1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link control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wired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remote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control)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REMOTE 2 IN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D-sub 9-pin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female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) × 1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external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control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parallel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60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LAN/DIGITAL LINK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RJ-45 × 1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network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DIGITAL LINK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connection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100Base-TX, compatible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with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Art-Net,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PJLink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™, Deep Color, HDCP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DB1803" w:rsidRPr="001F1C41" w:rsidRDefault="00DB1803" w:rsidP="00DB1803">
      <w:pPr>
        <w:jc w:val="center"/>
        <w:rPr>
          <w:rFonts w:eastAsia="Times New Roman" w:cstheme="minorHAnsi"/>
          <w:b/>
          <w:lang w:eastAsia="es-CO"/>
        </w:rPr>
      </w:pPr>
    </w:p>
    <w:p w:rsidR="00DB1803" w:rsidRPr="001F1C41" w:rsidRDefault="00DB1803" w:rsidP="00DB1803">
      <w:pPr>
        <w:rPr>
          <w:rFonts w:eastAsia="Times New Roman" w:cstheme="minorHAnsi"/>
          <w:b/>
          <w:lang w:eastAsia="es-CO"/>
        </w:rPr>
      </w:pPr>
      <w:r w:rsidRPr="001F1C41">
        <w:rPr>
          <w:rFonts w:eastAsia="Times New Roman" w:cstheme="minorHAnsi"/>
          <w:b/>
          <w:lang w:eastAsia="es-CO"/>
        </w:rPr>
        <w:t>PROYECTOR 7.200 ANSI LÚMENS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2977"/>
        <w:gridCol w:w="1919"/>
        <w:gridCol w:w="1919"/>
      </w:tblGrid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ESPECIFICACIONES TÉCNICAS 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7200 ANSI LUMENS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OFRECIDO</w:t>
            </w:r>
          </w:p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Marca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, </w:t>
            </w: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Referencia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o especificación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CUMPLE</w:t>
            </w:r>
          </w:p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SI o NO</w:t>
            </w: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Resolución 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WUXGA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Brillo  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7.200 LM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Contraste 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10,000:1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Resolución 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(1920 x 1200)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fuente de alimentación 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 100-240 V, 50/60 HZ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9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Consumo de energía 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825 W  Normal*: 593 W, Eco*: 508 W,</w:t>
            </w: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br/>
              <w:t xml:space="preserve">Long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Life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1*: 333–477 W, Long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Life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2*: 310–477 W, Long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Life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3*: 286–477 W,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Shutter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*: 72 W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DLP/ Tamaño del panel 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17.00 mm (0.67 in)/(16:10 relación de aspecto)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DLP/ Método de visualización 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DLP chip x 1, sistema de proyección DLP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DLP/ Pixeles 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2,304,000 (1920 x 1200)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6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Lentes 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Powered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zoom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throw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ratio 1.7–2.4:1),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powered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focus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F 1.7–1.9, f 25.6–35.7 mm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15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 xml:space="preserve"> Fuente de luz 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Láser de diodos clase 1 (clase 3R para modelos de EE. UU.), Vida útil de la fuente de luz * 1: 20,000 horas (modo normal) / 24,000 horas (modo ecológico). En este momento, el brillo habrá disminuido a aproximadamente la mitad de su nivel original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Terminales 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SDI IN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BNC × 1: 3G/HD/SD-SDI input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HDMI IN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HDMI 19-pin × 1 (Deep Color, compatible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with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HDCP)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6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DVI-D IN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DVI-D 24-pin × 1 (DVI 1.0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compliant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compatible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with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HDCP, compatible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with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single link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only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RGB 1 IN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RGB × 1 (BNC × 5): RGB/YPBPR/YCBCR/YC/VIDEO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RGB 2 IN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D-sub HD 15-pin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female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) × 1: RGB/YPBPR/YCBCR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6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SERIAL/MULTI PROJECTOR IN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D-sub 9-pin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female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) × 1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contrast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sync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/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shutter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sync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/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external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control (RS-232C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compliant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6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SERIAL/MULTI PROJECTOR OUT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D-sub 9-pin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male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) × 1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contrast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sync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/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shutter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sync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/RS-232C link control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REMOTE 1 IN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M3 × 1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wired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remote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control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REMOTE 1 OUT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M3 x 1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link control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wired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remote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control)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REMOTE 2 IN</w:t>
            </w:r>
          </w:p>
        </w:tc>
        <w:tc>
          <w:tcPr>
            <w:tcW w:w="1686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D-sub 9-pin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female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) × 1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external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control (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parallel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600"/>
        </w:trPr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LAN/DIGITAL LINK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RJ-45 × 1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network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DIGITAL LINK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connection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100Base-TX, compatible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with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Art-Net, </w:t>
            </w:r>
            <w:proofErr w:type="spellStart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PJLink</w:t>
            </w:r>
            <w:proofErr w:type="spellEnd"/>
            <w:r w:rsidRPr="00A81A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™, Deep Color, HDCP</w:t>
            </w: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7" w:type="pct"/>
          </w:tcPr>
          <w:p w:rsidR="00DB1803" w:rsidRPr="00A81A71" w:rsidRDefault="00DB1803" w:rsidP="00211ED0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DB1803" w:rsidRDefault="00DB1803" w:rsidP="00DB1803">
      <w:pPr>
        <w:spacing w:after="200" w:line="276" w:lineRule="auto"/>
        <w:rPr>
          <w:rFonts w:eastAsia="Times New Roman" w:cstheme="minorHAnsi"/>
          <w:b/>
          <w:lang w:eastAsia="es-CO"/>
        </w:rPr>
      </w:pPr>
    </w:p>
    <w:p w:rsidR="00DB1803" w:rsidRPr="00A81A71" w:rsidRDefault="00DB1803" w:rsidP="00DB1803">
      <w:pPr>
        <w:spacing w:after="200" w:line="276" w:lineRule="auto"/>
        <w:rPr>
          <w:rFonts w:eastAsia="Times New Roman" w:cstheme="minorHAnsi"/>
          <w:b/>
          <w:lang w:eastAsia="es-CO"/>
        </w:rPr>
      </w:pPr>
      <w:r w:rsidRPr="001F1C41">
        <w:rPr>
          <w:rFonts w:cstheme="minorHAnsi"/>
          <w:b/>
        </w:rPr>
        <w:t>MATRIZ DE AUDIO</w:t>
      </w:r>
    </w:p>
    <w:p w:rsidR="00DB1803" w:rsidRPr="001F1C41" w:rsidRDefault="00DB1803" w:rsidP="00DB1803">
      <w:pPr>
        <w:jc w:val="both"/>
        <w:rPr>
          <w:rFonts w:cstheme="minorHAnsi"/>
        </w:rPr>
      </w:pPr>
      <w:r w:rsidRPr="001F1C41">
        <w:rPr>
          <w:rFonts w:cstheme="minorHAnsi"/>
        </w:rPr>
        <w:t xml:space="preserve">La matriz de sonido debe ser de tipo profesional, con características DSP que permitan la implementación por software de ecualizadores lineales y paramétricos, limitadores, compresores, matrices, eliminadores de </w:t>
      </w:r>
      <w:proofErr w:type="spellStart"/>
      <w:r w:rsidRPr="001F1C41">
        <w:rPr>
          <w:rFonts w:cstheme="minorHAnsi"/>
        </w:rPr>
        <w:t>feedback</w:t>
      </w:r>
      <w:proofErr w:type="spellEnd"/>
      <w:r w:rsidRPr="001F1C41">
        <w:rPr>
          <w:rFonts w:cstheme="minorHAnsi"/>
        </w:rPr>
        <w:t xml:space="preserve">, etc. Debe tener como mínimo 12 entradas de línea/micrófono balanceadas con </w:t>
      </w:r>
      <w:proofErr w:type="spellStart"/>
      <w:r w:rsidRPr="001F1C41">
        <w:rPr>
          <w:rFonts w:cstheme="minorHAnsi"/>
        </w:rPr>
        <w:t>phantom</w:t>
      </w:r>
      <w:proofErr w:type="spellEnd"/>
      <w:r w:rsidRPr="001F1C41">
        <w:rPr>
          <w:rFonts w:cstheme="minorHAnsi"/>
        </w:rPr>
        <w:t xml:space="preserve"> </w:t>
      </w:r>
      <w:proofErr w:type="spellStart"/>
      <w:r w:rsidRPr="001F1C41">
        <w:rPr>
          <w:rFonts w:cstheme="minorHAnsi"/>
        </w:rPr>
        <w:t>power</w:t>
      </w:r>
      <w:proofErr w:type="spellEnd"/>
      <w:r w:rsidRPr="001F1C41">
        <w:rPr>
          <w:rFonts w:cstheme="minorHAnsi"/>
        </w:rPr>
        <w:t xml:space="preserve"> programable para cada entrada y 8 salidas de línea balanceadas. Se asignará una entrada de audio para cada sala física, una para la sala virtual y otra para el audio de una señal central de televisión. La matriz debe contar con un puerto Ethernet y/o RS232 que </w:t>
      </w:r>
      <w:r w:rsidRPr="001F1C41">
        <w:rPr>
          <w:rFonts w:cstheme="minorHAnsi"/>
        </w:rPr>
        <w:lastRenderedPageBreak/>
        <w:t>permita su interface y compatibilidad con el sistema de control existente en Plaza Mayor (</w:t>
      </w:r>
      <w:proofErr w:type="spellStart"/>
      <w:r w:rsidRPr="001F1C41">
        <w:rPr>
          <w:rFonts w:cstheme="minorHAnsi"/>
        </w:rPr>
        <w:t>Crestron</w:t>
      </w:r>
      <w:proofErr w:type="spellEnd"/>
      <w:r w:rsidRPr="001F1C41">
        <w:rPr>
          <w:rFonts w:cstheme="minorHAnsi"/>
        </w:rPr>
        <w:t xml:space="preserve"> Pro 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2116"/>
        <w:gridCol w:w="1640"/>
        <w:gridCol w:w="1240"/>
        <w:gridCol w:w="1068"/>
        <w:gridCol w:w="1411"/>
      </w:tblGrid>
      <w:tr w:rsidR="00DB1803" w:rsidRPr="00A81A71" w:rsidTr="00211ED0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DESCRIPCIÓN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REQUERIDO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OFRECIDO</w:t>
            </w:r>
          </w:p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Marca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 xml:space="preserve">, </w:t>
            </w: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Referencia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especifación</w:t>
            </w:r>
            <w:proofErr w:type="spellEnd"/>
          </w:p>
        </w:tc>
        <w:tc>
          <w:tcPr>
            <w:tcW w:w="1411" w:type="dxa"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CUMPLE</w:t>
            </w:r>
          </w:p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SI o NO</w:t>
            </w:r>
          </w:p>
        </w:tc>
      </w:tr>
      <w:tr w:rsidR="00DB1803" w:rsidRPr="00A81A71" w:rsidTr="00211ED0">
        <w:trPr>
          <w:trHeight w:val="300"/>
        </w:trPr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1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Fabricante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1" w:type="dxa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2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País de origen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USA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1" w:type="dxa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3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Referencia del fabricante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1" w:type="dxa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4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Alimentación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Vc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. A/Hz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120/60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1" w:type="dxa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5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Procesamiento DPS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1" w:type="dxa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845"/>
        </w:trPr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6 </w:t>
            </w:r>
          </w:p>
        </w:tc>
        <w:tc>
          <w:tcPr>
            <w:tcW w:w="2116" w:type="dxa"/>
            <w:shd w:val="clear" w:color="auto" w:fill="auto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Eliminador automático de </w:t>
            </w: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feedback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, mezclador automático, matriz </w:t>
            </w: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mixer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, ecualizador gráfico y paramétrico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1" w:type="dxa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7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Canales de entrada de </w:t>
            </w:r>
            <w:proofErr w:type="spellStart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mic</w:t>
            </w:r>
            <w:proofErr w:type="spellEnd"/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/línea balanceados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Mínimo 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1" w:type="dxa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8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Canales de salida balanceados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Mínimo 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1" w:type="dxa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  9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Entradas y salidas balanceados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1" w:type="dxa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10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Puerto de control RS232 o Ethernet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1" w:type="dxa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11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Montaje en rack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1" w:type="dxa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DB1803" w:rsidRPr="00A81A71" w:rsidTr="00211ED0">
        <w:trPr>
          <w:trHeight w:val="300"/>
        </w:trPr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 xml:space="preserve">              12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Garantía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A81A71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1" w:type="dxa"/>
          </w:tcPr>
          <w:p w:rsidR="00DB1803" w:rsidRPr="00A81A71" w:rsidRDefault="00DB1803" w:rsidP="00211ED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</w:tbl>
    <w:p w:rsidR="00602AA8" w:rsidRDefault="00602AA8">
      <w:bookmarkStart w:id="0" w:name="_GoBack"/>
      <w:bookmarkEnd w:id="0"/>
    </w:p>
    <w:sectPr w:rsidR="00602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03"/>
    <w:rsid w:val="00602AA8"/>
    <w:rsid w:val="00D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97732D-BF3C-4CDF-8CB6-6362C2C7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Restrepo</dc:creator>
  <cp:keywords/>
  <dc:description/>
  <cp:lastModifiedBy>Ana Maria Restrepo</cp:lastModifiedBy>
  <cp:revision>1</cp:revision>
  <dcterms:created xsi:type="dcterms:W3CDTF">2018-07-13T17:19:00Z</dcterms:created>
  <dcterms:modified xsi:type="dcterms:W3CDTF">2018-07-13T17:20:00Z</dcterms:modified>
</cp:coreProperties>
</file>